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6A73" w14:textId="77777777" w:rsidR="000A3F56" w:rsidRPr="000A3F56" w:rsidRDefault="000A3F56" w:rsidP="000A3F56">
      <w:pPr>
        <w:shd w:val="clear" w:color="auto" w:fill="EAF0F5"/>
        <w:spacing w:before="100" w:beforeAutospacing="1"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olor w:val="515151"/>
          <w:sz w:val="39"/>
          <w:szCs w:val="39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39"/>
          <w:szCs w:val="39"/>
          <w:lang w:eastAsia="cs-CZ"/>
        </w:rPr>
        <w:t>MILOSTIVÉ LÉTO</w:t>
      </w:r>
    </w:p>
    <w:p w14:paraId="7D5A7958" w14:textId="77777777" w:rsidR="000A3F56" w:rsidRPr="000A3F56" w:rsidRDefault="000A3F56" w:rsidP="000A3F56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  <w:t>CO JE MILOSTIVÉ LÉTO A JEHO VÝHODY</w:t>
      </w:r>
    </w:p>
    <w:p w14:paraId="12EE0E53" w14:textId="77777777" w:rsidR="000A3F56" w:rsidRPr="000A3F56" w:rsidRDefault="000A3F56" w:rsidP="000A3F56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Na základě právní úpravy tzv. milostivého léta se </w:t>
      </w: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fyzickým osobám</w:t>
      </w: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, které mají dluh vůči státu </w:t>
      </w: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vymáhaný </w:t>
      </w:r>
      <w:hyperlink r:id="rId5" w:anchor="Pojem.Soudn%C3%AD%20exekutor" w:tgtFrame="_blank" w:history="1">
        <w:r w:rsidRPr="000A3F56">
          <w:rPr>
            <w:rFonts w:ascii="Arial" w:eastAsia="Times New Roman" w:hAnsi="Arial" w:cs="Arial"/>
            <w:b/>
            <w:bCs/>
            <w:color w:val="F6565A"/>
            <w:sz w:val="23"/>
            <w:szCs w:val="23"/>
            <w:u w:val="single"/>
            <w:lang w:eastAsia="cs-CZ"/>
          </w:rPr>
          <w:t>soudním exekutorem</w:t>
        </w:r>
      </w:hyperlink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, </w:t>
      </w: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 xml:space="preserve">naskýtá šance splnit svůj dluh </w:t>
      </w:r>
      <w:proofErr w:type="gramStart"/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zjednodušeným</w:t>
      </w:r>
      <w:proofErr w:type="gramEnd"/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 xml:space="preserve"> a hlavně finančně výrazně méně nákladným způsobem.</w:t>
      </w:r>
    </w:p>
    <w:p w14:paraId="51A8392E" w14:textId="77777777" w:rsidR="000A3F56" w:rsidRPr="000A3F56" w:rsidRDefault="000A3F56" w:rsidP="000A3F56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Právní úprava tzv. milostivého léta nabyde účinnosti dnem 28. října 2021. Od tohoto data poběží tříměsíční lhůta, během níž může </w:t>
      </w:r>
      <w:hyperlink r:id="rId6" w:anchor="Pojem.Povinn%C3%BD" w:history="1">
        <w:r w:rsidRPr="000A3F56">
          <w:rPr>
            <w:rFonts w:ascii="Arial" w:eastAsia="Times New Roman" w:hAnsi="Arial" w:cs="Arial"/>
            <w:color w:val="F6565A"/>
            <w:sz w:val="23"/>
            <w:szCs w:val="23"/>
            <w:u w:val="single"/>
            <w:lang w:eastAsia="cs-CZ"/>
          </w:rPr>
          <w:t>povinný</w:t>
        </w:r>
      </w:hyperlink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 (dlužník) </w:t>
      </w: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zaplatit nezaplacenou nebo jinak nezaniklou </w:t>
      </w:r>
      <w:hyperlink r:id="rId7" w:anchor="Pojem.Jistina" w:tgtFrame="_blank" w:history="1">
        <w:r w:rsidRPr="000A3F56">
          <w:rPr>
            <w:rFonts w:ascii="Arial" w:eastAsia="Times New Roman" w:hAnsi="Arial" w:cs="Arial"/>
            <w:b/>
            <w:bCs/>
            <w:color w:val="F6565A"/>
            <w:sz w:val="23"/>
            <w:szCs w:val="23"/>
            <w:u w:val="single"/>
            <w:lang w:eastAsia="cs-CZ"/>
          </w:rPr>
          <w:t>jistinu</w:t>
        </w:r>
      </w:hyperlink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 vymáhanou v </w:t>
      </w:r>
      <w:hyperlink r:id="rId8" w:anchor="Pojem.Exeku%C4%8Dn%C3%AD%20%C5%99%C3%ADzen%C3%AD" w:tgtFrame="_blank" w:history="1">
        <w:r w:rsidRPr="000A3F56">
          <w:rPr>
            <w:rFonts w:ascii="Arial" w:eastAsia="Times New Roman" w:hAnsi="Arial" w:cs="Arial"/>
            <w:b/>
            <w:bCs/>
            <w:color w:val="F6565A"/>
            <w:sz w:val="23"/>
            <w:szCs w:val="23"/>
            <w:u w:val="single"/>
            <w:lang w:eastAsia="cs-CZ"/>
          </w:rPr>
          <w:t>exekučním řízení</w:t>
        </w:r>
      </w:hyperlink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 (případně doplatit zbývající část jistiny) a </w:t>
      </w:r>
      <w:hyperlink r:id="rId9" w:anchor="Pojem.N%C3%A1klady%20exekuce" w:tgtFrame="_blank" w:history="1">
        <w:r w:rsidRPr="000A3F56">
          <w:rPr>
            <w:rFonts w:ascii="Arial" w:eastAsia="Times New Roman" w:hAnsi="Arial" w:cs="Arial"/>
            <w:b/>
            <w:bCs/>
            <w:color w:val="F6565A"/>
            <w:sz w:val="23"/>
            <w:szCs w:val="23"/>
            <w:u w:val="single"/>
            <w:lang w:eastAsia="cs-CZ"/>
          </w:rPr>
          <w:t>náklady exekuce</w:t>
        </w:r>
      </w:hyperlink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, které činí 750,- Kč plus DPH </w:t>
      </w: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(je-li soudní exekutor plátcem daně z přidané hodnoty)</w:t>
      </w: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. Pokud tak povinný (dlužník) učiní, bude </w:t>
      </w:r>
      <w:hyperlink r:id="rId10" w:anchor="Pojem.Exekuce" w:tgtFrame="_blank" w:history="1">
        <w:r w:rsidRPr="000A3F56">
          <w:rPr>
            <w:rFonts w:ascii="Arial" w:eastAsia="Times New Roman" w:hAnsi="Arial" w:cs="Arial"/>
            <w:b/>
            <w:bCs/>
            <w:color w:val="F6565A"/>
            <w:sz w:val="23"/>
            <w:szCs w:val="23"/>
            <w:u w:val="single"/>
            <w:lang w:eastAsia="cs-CZ"/>
          </w:rPr>
          <w:t>exekuce</w:t>
        </w:r>
      </w:hyperlink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 zastavena a soudní exekutor rozhodne o osvobození od placení veškerých dalších vymáhaných pohledávek přesahujících zaplacenou jistinu v exekučním řízení v rozsahu, v němž nebyly dosud uspokojeny</w:t>
      </w: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. Pokud ale povinný (dlužník) nejpozději do 28. ledna 2022 nesplatí svůj dluh na jistině a nákladech exekuce, exekuce mu poběží dál.</w:t>
      </w:r>
    </w:p>
    <w:p w14:paraId="3DA667F0" w14:textId="77777777" w:rsidR="000A3F56" w:rsidRPr="000A3F56" w:rsidRDefault="000A3F56" w:rsidP="000A3F56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Dosud nebyla nikdy v historii České republiky žádná obdobná možnost, jak se rychle zbavit svých dluhů. Zejména v případech, kdy exekuce probíhá již delší dobu, může povinným (dlužníkům) využití tzv. milostivého léta zachránit nemalý finanční obnos, neboť </w:t>
      </w: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se povinnému (dlužníkovi) zcela odpouští úroky z prodlení a jiné příslušenství.</w:t>
      </w:r>
    </w:p>
    <w:p w14:paraId="33EE2DF1" w14:textId="77777777" w:rsidR="000A3F56" w:rsidRPr="000A3F56" w:rsidRDefault="000A3F56" w:rsidP="000A3F56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POZOR:</w:t>
      </w: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 Netýká se případů, kdy po povinném (dlužníkovi) vymáhá jeho dluh přímo soud, nebo jiná organizační složka státu, jako správce daně, tzn. daňovou exekucí. U těchto exekucí nelze „milostivé léto“ využít.</w:t>
      </w:r>
    </w:p>
    <w:p w14:paraId="53654287" w14:textId="77777777" w:rsidR="000A3F56" w:rsidRPr="000A3F56" w:rsidRDefault="000A3F56" w:rsidP="000A3F56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  <w:t>NA JAKÉ POHLEDÁVKY LZE VYUŽÍT</w:t>
      </w:r>
    </w:p>
    <w:p w14:paraId="6EB615EC" w14:textId="77777777" w:rsidR="000A3F56" w:rsidRPr="000A3F56" w:rsidRDefault="000A3F56" w:rsidP="000A3F56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Na jaké pohledávky lze využít – na pohledávky splňující všechny níže uvedené podmínky:</w:t>
      </w:r>
    </w:p>
    <w:p w14:paraId="5A73F99E" w14:textId="77777777" w:rsidR="000A3F56" w:rsidRPr="000A3F56" w:rsidRDefault="000A3F56" w:rsidP="000A3F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20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dluh je vymáhán exekučně soudním exekutorem,</w:t>
      </w:r>
    </w:p>
    <w:p w14:paraId="2E3BF80B" w14:textId="77777777" w:rsidR="000A3F56" w:rsidRPr="000A3F56" w:rsidRDefault="000A3F56" w:rsidP="000A3F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20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povinným (dlužníkem) je fyzická osoba a</w:t>
      </w:r>
    </w:p>
    <w:p w14:paraId="4DA78913" w14:textId="77777777" w:rsidR="000A3F56" w:rsidRPr="000A3F56" w:rsidRDefault="000A3F56" w:rsidP="000A3F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20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hyperlink r:id="rId11" w:anchor="Pojem.Opr%C3%A1vn%C4%9Bn%C3%BD" w:tgtFrame="_blank" w:history="1">
        <w:r w:rsidRPr="000A3F56">
          <w:rPr>
            <w:rFonts w:ascii="Arial" w:eastAsia="Times New Roman" w:hAnsi="Arial" w:cs="Arial"/>
            <w:color w:val="F6565A"/>
            <w:sz w:val="23"/>
            <w:szCs w:val="23"/>
            <w:u w:val="single"/>
            <w:lang w:eastAsia="cs-CZ"/>
          </w:rPr>
          <w:t>oprávněným</w:t>
        </w:r>
      </w:hyperlink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 (věřitelem) je Česká republika, územní samosprávný celek, zdravotní pojišťovna, Český rozhlas nebo Česká televize, a další subjekty uvedené v části druhé čl. IV bodu 25 zákona č. 286/2021 Sb.</w:t>
      </w:r>
    </w:p>
    <w:p w14:paraId="2F4277E4" w14:textId="77777777" w:rsidR="000A3F56" w:rsidRPr="000A3F56" w:rsidRDefault="000A3F56" w:rsidP="000A3F56">
      <w:pPr>
        <w:shd w:val="clear" w:color="auto" w:fill="FFFFFF"/>
        <w:spacing w:line="330" w:lineRule="atLeast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Nelze využít</w:t>
      </w: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 na peněžité tresty nebo jiné majetkové sankce, které byly povinnému (dlužníkovi) uloženy v trestním řízení pro úmyslný trestný čin a další pohledávky uvedené v části druhé čl. IV bod 25 odst. 8 zákona č. 286/2021 Sb.</w:t>
      </w:r>
    </w:p>
    <w:p w14:paraId="23FE4570" w14:textId="77777777" w:rsidR="000A3F56" w:rsidRPr="000A3F56" w:rsidRDefault="000A3F56" w:rsidP="000A3F56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  <w:lastRenderedPageBreak/>
        <w:t>TERMÍN, KDY LZE VYUŽÍT</w:t>
      </w:r>
    </w:p>
    <w:p w14:paraId="6CBAAAD5" w14:textId="77777777" w:rsidR="000A3F56" w:rsidRPr="000A3F56" w:rsidRDefault="000A3F56" w:rsidP="000A3F56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Termín, kdy lze využít: </w:t>
      </w:r>
    </w:p>
    <w:p w14:paraId="5038A2B7" w14:textId="77777777" w:rsidR="000A3F56" w:rsidRPr="000A3F56" w:rsidRDefault="000A3F56" w:rsidP="000A3F56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28. října 2021 až 28. ledna 2022.</w:t>
      </w:r>
    </w:p>
    <w:p w14:paraId="27C731B4" w14:textId="77777777" w:rsidR="000A3F56" w:rsidRPr="000A3F56" w:rsidRDefault="000A3F56" w:rsidP="000A3F56">
      <w:pPr>
        <w:shd w:val="clear" w:color="auto" w:fill="FFFFFF"/>
        <w:spacing w:line="330" w:lineRule="atLeast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Doporučujeme řešit co možná nejdříve.</w:t>
      </w:r>
    </w:p>
    <w:p w14:paraId="1FCA9D76" w14:textId="77777777" w:rsidR="000A3F56" w:rsidRPr="000A3F56" w:rsidRDefault="000A3F56" w:rsidP="000A3F56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  <w:t>POSTUP</w:t>
      </w:r>
    </w:p>
    <w:p w14:paraId="3B076DE4" w14:textId="77777777" w:rsidR="000A3F56" w:rsidRPr="000A3F56" w:rsidRDefault="000A3F56" w:rsidP="000A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Pokud si povinný (dlužník) není jistý počtem vedených exekucí anebo nezná spisové značky proti němu vedených exekučních řízení, doporučujeme opatřit si </w:t>
      </w: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výpis z </w:t>
      </w:r>
      <w:hyperlink r:id="rId12" w:anchor="Pojem.Centr%C3%A1ln%C3%AD%20evidence%20exekuc%C3%AD" w:tgtFrame="_blank" w:history="1">
        <w:r w:rsidRPr="000A3F56">
          <w:rPr>
            <w:rFonts w:ascii="Arial" w:eastAsia="Times New Roman" w:hAnsi="Arial" w:cs="Arial"/>
            <w:b/>
            <w:bCs/>
            <w:color w:val="F6565A"/>
            <w:sz w:val="23"/>
            <w:szCs w:val="23"/>
            <w:u w:val="single"/>
            <w:lang w:eastAsia="cs-CZ"/>
          </w:rPr>
          <w:t>Centrální evidence exekucí</w:t>
        </w:r>
      </w:hyperlink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 (CEE)</w:t>
      </w: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. Výpis z CEE lze pořídit </w:t>
      </w:r>
      <w:hyperlink r:id="rId13" w:history="1">
        <w:r w:rsidRPr="000A3F56">
          <w:rPr>
            <w:rFonts w:ascii="Arial" w:eastAsia="Times New Roman" w:hAnsi="Arial" w:cs="Arial"/>
            <w:color w:val="F6565A"/>
            <w:sz w:val="23"/>
            <w:szCs w:val="23"/>
            <w:u w:val="single"/>
            <w:lang w:eastAsia="cs-CZ"/>
          </w:rPr>
          <w:t>on-line</w:t>
        </w:r>
      </w:hyperlink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 na webu </w:t>
      </w:r>
      <w:hyperlink r:id="rId14" w:anchor="Pojem.Exekutorsk%C3%A1%20komora%20%C4%8Cesk%C3%A9%20republiky" w:tgtFrame="_blank" w:history="1">
        <w:r w:rsidRPr="000A3F56">
          <w:rPr>
            <w:rFonts w:ascii="Arial" w:eastAsia="Times New Roman" w:hAnsi="Arial" w:cs="Arial"/>
            <w:color w:val="F6565A"/>
            <w:sz w:val="23"/>
            <w:szCs w:val="23"/>
            <w:u w:val="single"/>
            <w:lang w:eastAsia="cs-CZ"/>
          </w:rPr>
          <w:t>Exekutorské komory České republiky</w:t>
        </w:r>
      </w:hyperlink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 xml:space="preserve">, nebo na jakékoliv pobočce Czech POINT (Česká pošta, obecní </w:t>
      </w:r>
      <w:proofErr w:type="gramStart"/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úřad,</w:t>
      </w:r>
      <w:proofErr w:type="gramEnd"/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 xml:space="preserve"> atp.)</w:t>
      </w:r>
    </w:p>
    <w:p w14:paraId="270F9C3F" w14:textId="77777777" w:rsidR="000A3F56" w:rsidRPr="000A3F56" w:rsidRDefault="000A3F56" w:rsidP="000A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Povinný (dlužník) by měl napsat soudnímu exekutorovi dopis (viz </w:t>
      </w:r>
      <w:hyperlink r:id="rId15" w:history="1">
        <w:r w:rsidRPr="000A3F56">
          <w:rPr>
            <w:rFonts w:ascii="Arial" w:eastAsia="Times New Roman" w:hAnsi="Arial" w:cs="Arial"/>
            <w:color w:val="F6565A"/>
            <w:sz w:val="23"/>
            <w:szCs w:val="23"/>
            <w:u w:val="single"/>
            <w:lang w:eastAsia="cs-CZ"/>
          </w:rPr>
          <w:t>vzor dopisu</w:t>
        </w:r>
      </w:hyperlink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), ve kterém žádá o informaci o výši své nezaplacené jistiny (pokud ji nezná) a </w:t>
      </w: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informuje jej o využití „milostivého léta“ – </w:t>
      </w:r>
      <w:r w:rsidRPr="000A3F56">
        <w:rPr>
          <w:rFonts w:ascii="Arial" w:eastAsia="Times New Roman" w:hAnsi="Arial" w:cs="Arial"/>
          <w:b/>
          <w:bCs/>
          <w:i/>
          <w:iCs/>
          <w:color w:val="515151"/>
          <w:sz w:val="23"/>
          <w:szCs w:val="23"/>
          <w:u w:val="single"/>
          <w:lang w:eastAsia="cs-CZ"/>
        </w:rPr>
        <w:t>velmi důležité!</w:t>
      </w:r>
    </w:p>
    <w:p w14:paraId="1CE9DD41" w14:textId="77777777" w:rsidR="000A3F56" w:rsidRPr="000A3F56" w:rsidRDefault="000A3F56" w:rsidP="000A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Pokud by soudní exekutor v přiměřené lhůtě nereagoval na žádost povinného (dlužníka), má dále povinný (dlužník) možnost získat informaci o původní vymáhané jistině nahlédnutím do spisu soudního exekutora nebo může získat tyto informace přímo u oprávněného (věřitele).</w:t>
      </w:r>
    </w:p>
    <w:p w14:paraId="52D9BB36" w14:textId="77777777" w:rsidR="000A3F56" w:rsidRPr="000A3F56" w:rsidRDefault="000A3F56" w:rsidP="000A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Po získání výše uvedených informací povinný (dlužník) zaplatí svůj dluh – jistinu (případně doplatí zbývající část jistiny) a náklady exekuce, které činí 750,- Kč plus DPH (je-li soudní exekutor plátcem daně z přidané hodnoty). </w:t>
      </w:r>
      <w:r w:rsidRPr="000A3F56">
        <w:rPr>
          <w:rFonts w:ascii="Arial" w:eastAsia="Times New Roman" w:hAnsi="Arial" w:cs="Arial"/>
          <w:b/>
          <w:bCs/>
          <w:color w:val="515151"/>
          <w:sz w:val="23"/>
          <w:szCs w:val="23"/>
          <w:lang w:eastAsia="cs-CZ"/>
        </w:rPr>
        <w:t>Předmětnou platbu povinný (dlužník) označí poznámkou „milostivé léto“ a platbu odešle tak, aby dorazila na účet soudního exekutora nejpozději 28. ledna 2022.</w:t>
      </w:r>
    </w:p>
    <w:p w14:paraId="05EFF417" w14:textId="77777777" w:rsidR="000A3F56" w:rsidRPr="000A3F56" w:rsidRDefault="000A3F56" w:rsidP="000A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Soudní exekutor exekuci zastaví a rozhodne o osvobození od placení veškerých dalších vymáhaných pohledávek přesahujících zaplacenou jistinu v exekučním řízení v rozsahu, v němž nebyly dosud uspokojeny.</w:t>
      </w:r>
    </w:p>
    <w:p w14:paraId="6173D84A" w14:textId="77777777" w:rsidR="000A3F56" w:rsidRPr="000A3F56" w:rsidRDefault="000A3F56" w:rsidP="000A3F56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  <w:t>VZOR DOPISU SOUDNÍMU EXEKUTOROVI</w:t>
      </w:r>
    </w:p>
    <w:p w14:paraId="343D8918" w14:textId="77777777" w:rsidR="000A3F56" w:rsidRPr="000A3F56" w:rsidRDefault="000A3F56" w:rsidP="000A3F56">
      <w:pPr>
        <w:shd w:val="clear" w:color="auto" w:fill="FFFFFF"/>
        <w:spacing w:line="330" w:lineRule="atLeast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Vzor dopisu soudnímu exekutorovi </w:t>
      </w:r>
      <w:hyperlink r:id="rId16" w:history="1">
        <w:r w:rsidRPr="000A3F56">
          <w:rPr>
            <w:rFonts w:ascii="Arial" w:eastAsia="Times New Roman" w:hAnsi="Arial" w:cs="Arial"/>
            <w:color w:val="F6565A"/>
            <w:sz w:val="23"/>
            <w:szCs w:val="23"/>
            <w:u w:val="single"/>
            <w:lang w:eastAsia="cs-CZ"/>
          </w:rPr>
          <w:t>zde</w:t>
        </w:r>
      </w:hyperlink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.</w:t>
      </w:r>
    </w:p>
    <w:p w14:paraId="37C11B03" w14:textId="77777777" w:rsidR="000A3F56" w:rsidRPr="000A3F56" w:rsidRDefault="000A3F56" w:rsidP="000A3F56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</w:pPr>
      <w:r w:rsidRPr="000A3F56">
        <w:rPr>
          <w:rFonts w:ascii="Arial" w:eastAsia="Times New Roman" w:hAnsi="Arial" w:cs="Arial"/>
          <w:b/>
          <w:bCs/>
          <w:color w:val="515151"/>
          <w:sz w:val="29"/>
          <w:szCs w:val="29"/>
          <w:lang w:eastAsia="cs-CZ"/>
        </w:rPr>
        <w:t>PRÁVNÍ ÚPRAVA</w:t>
      </w:r>
    </w:p>
    <w:p w14:paraId="06360BE6" w14:textId="77777777" w:rsidR="000A3F56" w:rsidRPr="000A3F56" w:rsidRDefault="000A3F56" w:rsidP="000A3F56">
      <w:pPr>
        <w:shd w:val="clear" w:color="auto" w:fill="FFFFFF"/>
        <w:spacing w:line="330" w:lineRule="atLeast"/>
        <w:rPr>
          <w:rFonts w:ascii="Arial" w:eastAsia="Times New Roman" w:hAnsi="Arial" w:cs="Arial"/>
          <w:color w:val="515151"/>
          <w:sz w:val="23"/>
          <w:szCs w:val="23"/>
          <w:lang w:eastAsia="cs-CZ"/>
        </w:rPr>
      </w:pPr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Část druhá čl. IV bod 25 zákona č. 286/2021 Sb., kterým se mění zákon č. 99/1963 Sb., </w:t>
      </w:r>
      <w:hyperlink r:id="rId17" w:anchor="Pojem.Ob%C4%8Dansk%C3%BD%20soudn%C3%AD%20%C5%99%C3%A1d" w:tgtFrame="_blank" w:history="1">
        <w:r w:rsidRPr="000A3F56">
          <w:rPr>
            <w:rFonts w:ascii="Arial" w:eastAsia="Times New Roman" w:hAnsi="Arial" w:cs="Arial"/>
            <w:color w:val="F6565A"/>
            <w:sz w:val="23"/>
            <w:szCs w:val="23"/>
            <w:u w:val="single"/>
            <w:lang w:eastAsia="cs-CZ"/>
          </w:rPr>
          <w:t>občanský soudní řád</w:t>
        </w:r>
      </w:hyperlink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, ve znění pozdějších předpisů, zákon č. 120/2001 Sb., o soudních exekutorech a exekuční činnosti (</w:t>
      </w:r>
      <w:hyperlink r:id="rId18" w:anchor="Pojem.Exeku%C4%8Dn%C3%AD%20%C5%99%C3%A1d" w:tgtFrame="_blank" w:history="1">
        <w:r w:rsidRPr="000A3F56">
          <w:rPr>
            <w:rFonts w:ascii="Arial" w:eastAsia="Times New Roman" w:hAnsi="Arial" w:cs="Arial"/>
            <w:color w:val="F6565A"/>
            <w:sz w:val="23"/>
            <w:szCs w:val="23"/>
            <w:u w:val="single"/>
            <w:lang w:eastAsia="cs-CZ"/>
          </w:rPr>
          <w:t>exekuční řád</w:t>
        </w:r>
      </w:hyperlink>
      <w:r w:rsidRPr="000A3F56">
        <w:rPr>
          <w:rFonts w:ascii="Arial" w:eastAsia="Times New Roman" w:hAnsi="Arial" w:cs="Arial"/>
          <w:color w:val="515151"/>
          <w:sz w:val="23"/>
          <w:szCs w:val="23"/>
          <w:lang w:eastAsia="cs-CZ"/>
        </w:rPr>
        <w:t>) a o změně dalších zákonů, ve znění pozdějších předpisů, a některé další zákony.</w:t>
      </w:r>
    </w:p>
    <w:p w14:paraId="06262ECC" w14:textId="77777777" w:rsidR="00C17B94" w:rsidRDefault="00C17B94"/>
    <w:sectPr w:rsidR="00C17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828"/>
    <w:multiLevelType w:val="multilevel"/>
    <w:tmpl w:val="D7C6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D64A75"/>
    <w:multiLevelType w:val="multilevel"/>
    <w:tmpl w:val="3BC0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56"/>
    <w:rsid w:val="000A3F56"/>
    <w:rsid w:val="00C1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57EE"/>
  <w15:chartTrackingRefBased/>
  <w15:docId w15:val="{B28D579D-BD1A-42C4-9812-608B7C1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3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A3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A3F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3F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3F5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A3F5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A3F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5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02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58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5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346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6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188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ekuce.justice.cz/slovnik-pojmu/" TargetMode="External"/><Relationship Id="rId13" Type="http://schemas.openxmlformats.org/officeDocument/2006/relationships/hyperlink" Target="https://www.ekcr.cz/1/centralni-evidence-exekuci/22-centralni-evidence-exekuci?w=" TargetMode="External"/><Relationship Id="rId18" Type="http://schemas.openxmlformats.org/officeDocument/2006/relationships/hyperlink" Target="http://exekuce.justice.cz/slovnik-pojm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ekuce.justice.cz/slovnik-pojmu/" TargetMode="External"/><Relationship Id="rId12" Type="http://schemas.openxmlformats.org/officeDocument/2006/relationships/hyperlink" Target="http://exekuce.justice.cz/slovnik-pojmu/" TargetMode="External"/><Relationship Id="rId17" Type="http://schemas.openxmlformats.org/officeDocument/2006/relationships/hyperlink" Target="http://exekuce.justice.cz/slovnik-pojm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ekuce.justice.cz/obecne-vzory-podan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xekuce.justice.cz/slovnik-pojmu/" TargetMode="External"/><Relationship Id="rId11" Type="http://schemas.openxmlformats.org/officeDocument/2006/relationships/hyperlink" Target="http://exekuce.justice.cz/slovnik-pojmu/" TargetMode="External"/><Relationship Id="rId5" Type="http://schemas.openxmlformats.org/officeDocument/2006/relationships/hyperlink" Target="http://exekuce.justice.cz/slovnik-pojmu/" TargetMode="External"/><Relationship Id="rId15" Type="http://schemas.openxmlformats.org/officeDocument/2006/relationships/hyperlink" Target="https://exekuce.justice.cz/obecne-vzory-podani/" TargetMode="External"/><Relationship Id="rId10" Type="http://schemas.openxmlformats.org/officeDocument/2006/relationships/hyperlink" Target="http://exekuce.justice.cz/slovnik-pojm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ekuce.justice.cz/slovnik-pojmu/" TargetMode="External"/><Relationship Id="rId14" Type="http://schemas.openxmlformats.org/officeDocument/2006/relationships/hyperlink" Target="http://exekuce.justice.cz/slovnik-pojm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Hovorková Hana</dc:creator>
  <cp:keywords/>
  <dc:description/>
  <cp:lastModifiedBy>Hovorková Hana</cp:lastModifiedBy>
  <cp:revision>1</cp:revision>
  <cp:lastPrinted>2021-11-25T08:32:00Z</cp:lastPrinted>
  <dcterms:created xsi:type="dcterms:W3CDTF">2021-11-25T08:32:00Z</dcterms:created>
  <dcterms:modified xsi:type="dcterms:W3CDTF">2021-11-25T08:33:00Z</dcterms:modified>
</cp:coreProperties>
</file>